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6E" w:rsidRDefault="00B9566E" w:rsidP="000C014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41EDE" w:rsidRPr="00C41EDE" w:rsidRDefault="00C41EDE" w:rsidP="00C41EDE">
      <w:pPr>
        <w:widowControl w:val="0"/>
        <w:tabs>
          <w:tab w:val="left" w:pos="6096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C41EDE" w:rsidRPr="00C41EDE" w:rsidRDefault="00C41EDE" w:rsidP="00C41ED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EDE" w:rsidRPr="00C41EDE" w:rsidRDefault="00C41EDE" w:rsidP="00C41ED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</w:t>
      </w: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УТВЕРЖДЕНЫ </w:t>
      </w:r>
    </w:p>
    <w:p w:rsidR="00C41EDE" w:rsidRPr="00C41EDE" w:rsidRDefault="00C41EDE" w:rsidP="00C41EDE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решением Совета</w:t>
      </w:r>
    </w:p>
    <w:p w:rsidR="00C41EDE" w:rsidRPr="00C41EDE" w:rsidRDefault="00C41EDE" w:rsidP="00C41ED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C41EDE" w:rsidRPr="00C41EDE" w:rsidRDefault="00C41EDE" w:rsidP="00C41EDE">
      <w:pPr>
        <w:widowControl w:val="0"/>
        <w:tabs>
          <w:tab w:val="left" w:pos="5812"/>
          <w:tab w:val="left" w:pos="5954"/>
          <w:tab w:val="left" w:pos="609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</w:t>
      </w: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>Абинский район</w:t>
      </w:r>
    </w:p>
    <w:p w:rsidR="00B9566E" w:rsidRDefault="00C41EDE" w:rsidP="00C41ED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1E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от _________2023 г. № _____</w:t>
      </w:r>
    </w:p>
    <w:p w:rsidR="00C41EDE" w:rsidRDefault="00C41EDE" w:rsidP="00B9566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EDE" w:rsidRDefault="00C41EDE" w:rsidP="00B9566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1EDE" w:rsidRPr="00CC56E0" w:rsidRDefault="00C41EDE" w:rsidP="00B9566E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566E" w:rsidRPr="00CC56E0" w:rsidRDefault="00B9566E" w:rsidP="00B9566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ИЗМЕНЕНИЯ,</w:t>
      </w:r>
    </w:p>
    <w:p w:rsidR="00B9566E" w:rsidRPr="00B9566E" w:rsidRDefault="00B9566E" w:rsidP="00B956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566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вносимые в местные нормативы градостроительного проектирования Светлогорского сельского поселения Абинского района, </w:t>
      </w:r>
      <w:r w:rsidRPr="00B956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утвержденные решением Совета муниципального образования Абинский район </w:t>
      </w:r>
      <w:bookmarkStart w:id="0" w:name="_GoBack"/>
      <w:bookmarkEnd w:id="0"/>
      <w:r w:rsidRPr="00B956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 26 октября 2016 г. № 168-с «Об утверждении </w:t>
      </w:r>
      <w:r w:rsidRPr="00B9566E">
        <w:rPr>
          <w:rFonts w:ascii="Times New Roman" w:hAnsi="Times New Roman"/>
          <w:b/>
          <w:bCs/>
          <w:sz w:val="28"/>
          <w:szCs w:val="28"/>
          <w:lang w:eastAsia="ru-RU"/>
        </w:rPr>
        <w:t>местных нормативов градостроительного проектирования Светлогорского сельского поселения Абинского района</w:t>
      </w:r>
      <w:r w:rsidRPr="00B9566E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B9566E" w:rsidRPr="00CC56E0" w:rsidRDefault="00B9566E" w:rsidP="00B9566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C014E" w:rsidRPr="00B9566E" w:rsidRDefault="00B9566E" w:rsidP="00B95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0C014E" w:rsidRPr="00B9566E">
        <w:rPr>
          <w:rFonts w:ascii="Times New Roman" w:hAnsi="Times New Roman" w:cs="Times New Roman"/>
          <w:sz w:val="28"/>
        </w:rPr>
        <w:t>В</w:t>
      </w:r>
      <w:r w:rsidR="00B83E30">
        <w:rPr>
          <w:rFonts w:ascii="Times New Roman" w:hAnsi="Times New Roman" w:cs="Times New Roman"/>
          <w:sz w:val="28"/>
        </w:rPr>
        <w:t xml:space="preserve"> столбце 1</w:t>
      </w:r>
      <w:r w:rsidR="000C014E" w:rsidRPr="00B9566E">
        <w:rPr>
          <w:rFonts w:ascii="Times New Roman" w:hAnsi="Times New Roman" w:cs="Times New Roman"/>
          <w:sz w:val="28"/>
        </w:rPr>
        <w:t xml:space="preserve"> </w:t>
      </w:r>
      <w:r w:rsidR="00B83E30">
        <w:rPr>
          <w:rFonts w:ascii="Times New Roman" w:hAnsi="Times New Roman" w:cs="Times New Roman"/>
          <w:sz w:val="28"/>
        </w:rPr>
        <w:t xml:space="preserve">таблицы в подпункте </w:t>
      </w:r>
      <w:r w:rsidR="0029074E" w:rsidRPr="00B9566E">
        <w:rPr>
          <w:rFonts w:ascii="Times New Roman" w:hAnsi="Times New Roman" w:cs="Times New Roman"/>
          <w:sz w:val="28"/>
        </w:rPr>
        <w:t>1.1.16</w:t>
      </w:r>
      <w:r w:rsidR="00C41EDE">
        <w:rPr>
          <w:rFonts w:ascii="Times New Roman" w:hAnsi="Times New Roman" w:cs="Times New Roman"/>
          <w:sz w:val="28"/>
        </w:rPr>
        <w:t>.</w:t>
      </w:r>
      <w:r w:rsidR="000C014E" w:rsidRPr="00B9566E">
        <w:rPr>
          <w:rFonts w:ascii="Times New Roman" w:hAnsi="Times New Roman" w:cs="Times New Roman"/>
          <w:sz w:val="28"/>
        </w:rPr>
        <w:t xml:space="preserve"> «</w:t>
      </w:r>
      <w:r w:rsidR="0029074E" w:rsidRPr="00B9566E">
        <w:rPr>
          <w:rFonts w:ascii="Times New Roman" w:hAnsi="Times New Roman" w:cs="Times New Roman"/>
          <w:sz w:val="28"/>
        </w:rPr>
        <w:t>Нормативные показатели плотности застройки территориальных зон</w:t>
      </w:r>
      <w:r w:rsidR="000C014E" w:rsidRPr="00B9566E">
        <w:rPr>
          <w:rFonts w:ascii="Times New Roman" w:hAnsi="Times New Roman" w:cs="Times New Roman"/>
          <w:sz w:val="28"/>
        </w:rPr>
        <w:t>»</w:t>
      </w:r>
      <w:r w:rsidR="00B83E30">
        <w:rPr>
          <w:rFonts w:ascii="Times New Roman" w:hAnsi="Times New Roman" w:cs="Times New Roman"/>
          <w:sz w:val="28"/>
        </w:rPr>
        <w:t xml:space="preserve"> </w:t>
      </w:r>
      <w:r w:rsidR="00B83E30" w:rsidRPr="00B83E30">
        <w:rPr>
          <w:rFonts w:ascii="Times New Roman" w:hAnsi="Times New Roman" w:cs="Times New Roman"/>
          <w:sz w:val="28"/>
        </w:rPr>
        <w:t>пункт</w:t>
      </w:r>
      <w:r w:rsidR="00B83E30">
        <w:rPr>
          <w:rFonts w:ascii="Times New Roman" w:hAnsi="Times New Roman" w:cs="Times New Roman"/>
          <w:sz w:val="28"/>
        </w:rPr>
        <w:t>а</w:t>
      </w:r>
      <w:r w:rsidR="00B83E30" w:rsidRPr="00B83E30">
        <w:rPr>
          <w:rFonts w:ascii="Times New Roman" w:hAnsi="Times New Roman" w:cs="Times New Roman"/>
          <w:sz w:val="28"/>
        </w:rPr>
        <w:t xml:space="preserve"> 1.1</w:t>
      </w:r>
      <w:r w:rsidR="00C41EDE">
        <w:rPr>
          <w:rFonts w:ascii="Times New Roman" w:hAnsi="Times New Roman" w:cs="Times New Roman"/>
          <w:sz w:val="28"/>
        </w:rPr>
        <w:t>.</w:t>
      </w:r>
      <w:r w:rsidR="00B83E30" w:rsidRPr="00B83E30">
        <w:rPr>
          <w:rFonts w:ascii="Times New Roman" w:hAnsi="Times New Roman" w:cs="Times New Roman"/>
          <w:sz w:val="28"/>
        </w:rPr>
        <w:t xml:space="preserve"> «Расчетные показатели минимально допустимого уровня обеспеченности объектами местного значения Светлогорского сельского поселения,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поселения» части 1 «Основная часть»</w:t>
      </w:r>
      <w:r w:rsidR="000C014E" w:rsidRPr="00B9566E">
        <w:rPr>
          <w:rFonts w:ascii="Times New Roman" w:hAnsi="Times New Roman" w:cs="Times New Roman"/>
          <w:sz w:val="28"/>
        </w:rPr>
        <w:t xml:space="preserve"> заменить слова «Зона застройки малоэтажными жилыми домами» на </w:t>
      </w:r>
      <w:r>
        <w:rPr>
          <w:rFonts w:ascii="Times New Roman" w:hAnsi="Times New Roman" w:cs="Times New Roman"/>
          <w:sz w:val="28"/>
        </w:rPr>
        <w:t xml:space="preserve">слова </w:t>
      </w:r>
      <w:r w:rsidR="000C014E" w:rsidRPr="00B9566E">
        <w:rPr>
          <w:rFonts w:ascii="Times New Roman" w:hAnsi="Times New Roman" w:cs="Times New Roman"/>
          <w:sz w:val="28"/>
        </w:rPr>
        <w:t>«Зона застройки малоэтажными многоквартирными жилыми домами».</w:t>
      </w:r>
    </w:p>
    <w:p w:rsidR="00F34D19" w:rsidRDefault="00B9566E" w:rsidP="00B9566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B95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 «Торговые объекты» </w:t>
      </w:r>
      <w:r>
        <w:rPr>
          <w:rFonts w:ascii="Times New Roman" w:hAnsi="Times New Roman" w:cs="Times New Roman"/>
          <w:sz w:val="28"/>
        </w:rPr>
        <w:t>в</w:t>
      </w:r>
      <w:r w:rsidR="005F1035">
        <w:rPr>
          <w:rFonts w:ascii="Times New Roman" w:hAnsi="Times New Roman" w:cs="Times New Roman"/>
          <w:sz w:val="28"/>
        </w:rPr>
        <w:t xml:space="preserve"> таблице </w:t>
      </w:r>
      <w:r w:rsidR="0029074E">
        <w:rPr>
          <w:rFonts w:ascii="Times New Roman" w:hAnsi="Times New Roman" w:cs="Times New Roman"/>
          <w:sz w:val="28"/>
        </w:rPr>
        <w:t>п</w:t>
      </w:r>
      <w:r w:rsidR="00B83E30">
        <w:rPr>
          <w:rFonts w:ascii="Times New Roman" w:hAnsi="Times New Roman" w:cs="Times New Roman"/>
          <w:sz w:val="28"/>
        </w:rPr>
        <w:t>одп</w:t>
      </w:r>
      <w:r w:rsidR="0029074E">
        <w:rPr>
          <w:rFonts w:ascii="Times New Roman" w:hAnsi="Times New Roman" w:cs="Times New Roman"/>
          <w:sz w:val="28"/>
        </w:rPr>
        <w:t>ункт</w:t>
      </w:r>
      <w:r w:rsidR="005F1035">
        <w:rPr>
          <w:rFonts w:ascii="Times New Roman" w:hAnsi="Times New Roman" w:cs="Times New Roman"/>
          <w:sz w:val="28"/>
        </w:rPr>
        <w:t>а</w:t>
      </w:r>
      <w:r w:rsidR="0029074E">
        <w:rPr>
          <w:rFonts w:ascii="Times New Roman" w:hAnsi="Times New Roman" w:cs="Times New Roman"/>
          <w:sz w:val="28"/>
        </w:rPr>
        <w:t xml:space="preserve"> 1.1.19</w:t>
      </w:r>
      <w:r w:rsidR="00C41EDE">
        <w:rPr>
          <w:rFonts w:ascii="Times New Roman" w:hAnsi="Times New Roman" w:cs="Times New Roman"/>
          <w:sz w:val="28"/>
        </w:rPr>
        <w:t>.</w:t>
      </w:r>
      <w:r w:rsidR="0029074E" w:rsidRPr="003A6967">
        <w:rPr>
          <w:rFonts w:ascii="Times New Roman" w:hAnsi="Times New Roman" w:cs="Times New Roman"/>
          <w:sz w:val="28"/>
        </w:rPr>
        <w:t xml:space="preserve"> «</w:t>
      </w:r>
      <w:r w:rsidR="0029074E">
        <w:rPr>
          <w:rFonts w:ascii="Times New Roman" w:hAnsi="Times New Roman" w:cs="Times New Roman"/>
          <w:sz w:val="28"/>
          <w:szCs w:val="28"/>
        </w:rPr>
        <w:t xml:space="preserve">Расчет количества </w:t>
      </w:r>
      <w:proofErr w:type="spellStart"/>
      <w:r w:rsidR="0029074E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29074E">
        <w:rPr>
          <w:rFonts w:ascii="Times New Roman" w:hAnsi="Times New Roman" w:cs="Times New Roman"/>
          <w:sz w:val="28"/>
          <w:szCs w:val="28"/>
        </w:rPr>
        <w:t>-мест для рекреационных территорий, объектов отдыха, зданий и сооружений</w:t>
      </w:r>
      <w:r w:rsidR="0029074E">
        <w:rPr>
          <w:rFonts w:ascii="Times New Roman" w:hAnsi="Times New Roman" w:cs="Times New Roman"/>
          <w:sz w:val="28"/>
        </w:rPr>
        <w:t>»</w:t>
      </w:r>
      <w:r w:rsidR="00B83E30">
        <w:rPr>
          <w:rFonts w:ascii="Times New Roman" w:hAnsi="Times New Roman" w:cs="Times New Roman"/>
          <w:sz w:val="28"/>
        </w:rPr>
        <w:t xml:space="preserve"> </w:t>
      </w:r>
      <w:r w:rsidR="00B83E30" w:rsidRPr="00B83E30">
        <w:rPr>
          <w:rFonts w:ascii="Times New Roman" w:hAnsi="Times New Roman" w:cs="Times New Roman"/>
          <w:sz w:val="28"/>
        </w:rPr>
        <w:t>пункт</w:t>
      </w:r>
      <w:r w:rsidR="00B83E30">
        <w:rPr>
          <w:rFonts w:ascii="Times New Roman" w:hAnsi="Times New Roman" w:cs="Times New Roman"/>
          <w:sz w:val="28"/>
        </w:rPr>
        <w:t>а</w:t>
      </w:r>
      <w:r w:rsidR="00B83E30" w:rsidRPr="00B83E30">
        <w:rPr>
          <w:rFonts w:ascii="Times New Roman" w:hAnsi="Times New Roman" w:cs="Times New Roman"/>
          <w:sz w:val="28"/>
        </w:rPr>
        <w:t xml:space="preserve"> 1.1</w:t>
      </w:r>
      <w:r w:rsidR="00C41EDE">
        <w:rPr>
          <w:rFonts w:ascii="Times New Roman" w:hAnsi="Times New Roman" w:cs="Times New Roman"/>
          <w:sz w:val="28"/>
        </w:rPr>
        <w:t>.</w:t>
      </w:r>
      <w:r w:rsidR="00B83E30" w:rsidRPr="00B83E30">
        <w:rPr>
          <w:rFonts w:ascii="Times New Roman" w:hAnsi="Times New Roman" w:cs="Times New Roman"/>
          <w:sz w:val="28"/>
        </w:rPr>
        <w:t xml:space="preserve"> «Расчетные показатели минимально допустимого уровня обеспеченности объектами местного значения Светлогорского сельского поселения,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поселения» части 1 «Основная часть»</w:t>
      </w:r>
      <w:r w:rsidR="00B83E30" w:rsidRPr="00B9566E">
        <w:rPr>
          <w:rFonts w:ascii="Times New Roman" w:hAnsi="Times New Roman" w:cs="Times New Roman"/>
          <w:sz w:val="28"/>
        </w:rPr>
        <w:t xml:space="preserve"> </w:t>
      </w:r>
      <w:r w:rsidR="0029074E">
        <w:rPr>
          <w:rFonts w:ascii="Times New Roman" w:hAnsi="Times New Roman" w:cs="Times New Roman"/>
          <w:sz w:val="28"/>
          <w:szCs w:val="28"/>
        </w:rPr>
        <w:t>изложить</w:t>
      </w:r>
      <w:r w:rsidR="00F1646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F1646E" w:rsidRDefault="00F1646E" w:rsidP="00B956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C41EDE" w:rsidRPr="00825233" w:rsidTr="00C41EDE">
        <w:trPr>
          <w:tblHeader/>
        </w:trPr>
        <w:tc>
          <w:tcPr>
            <w:tcW w:w="3798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C41EDE" w:rsidRPr="00B9566E" w:rsidRDefault="00C41EDE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1EDE" w:rsidRPr="00825233" w:rsidTr="00C41EDE">
        <w:trPr>
          <w:tblHeader/>
        </w:trPr>
        <w:tc>
          <w:tcPr>
            <w:tcW w:w="9701" w:type="dxa"/>
            <w:gridSpan w:val="3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</w:rPr>
              <w:t>Торговые объекты</w:t>
            </w:r>
          </w:p>
        </w:tc>
      </w:tr>
      <w:tr w:rsidR="00F1646E" w:rsidRPr="00825233" w:rsidTr="00C41EDE">
        <w:tc>
          <w:tcPr>
            <w:tcW w:w="3798" w:type="dxa"/>
          </w:tcPr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</w:t>
            </w: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комплексы, супермаркеты, универсамы, универмаги, предприятия торговли и т.п.), магазины-склады (мелкооптовой и розничной торговли) аптеки и аптечные магазины, фотосалоны, салоны красоты, солярии, салоны моды, свадебные салоны, парикмахерские, специализированные магазины по продаже товаров эпизодического спроса непродовольственной группы, рынки</w:t>
            </w:r>
          </w:p>
        </w:tc>
        <w:tc>
          <w:tcPr>
            <w:tcW w:w="2362" w:type="dxa"/>
          </w:tcPr>
          <w:p w:rsidR="00F1646E" w:rsidRPr="00B9566E" w:rsidRDefault="00F1646E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м2 общей площади</w:t>
            </w:r>
          </w:p>
        </w:tc>
        <w:tc>
          <w:tcPr>
            <w:tcW w:w="3541" w:type="dxa"/>
          </w:tcPr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646E" w:rsidRDefault="00C41EDE" w:rsidP="00C41EDE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.».</w:t>
      </w:r>
    </w:p>
    <w:p w:rsidR="00F1646E" w:rsidRDefault="00B9566E" w:rsidP="00B95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9074E" w:rsidRPr="00B9566E">
        <w:rPr>
          <w:rFonts w:ascii="Times New Roman" w:hAnsi="Times New Roman" w:cs="Times New Roman"/>
          <w:sz w:val="28"/>
          <w:szCs w:val="28"/>
        </w:rPr>
        <w:t xml:space="preserve">одраздел </w:t>
      </w:r>
      <w:r w:rsidR="00F1646E" w:rsidRPr="00B9566E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бъекты гостиничного размещения» </w:t>
      </w:r>
      <w:r w:rsidR="005F1035">
        <w:rPr>
          <w:rFonts w:ascii="Times New Roman" w:hAnsi="Times New Roman" w:cs="Times New Roman"/>
          <w:sz w:val="28"/>
        </w:rPr>
        <w:t>в таблице подпункта</w:t>
      </w:r>
      <w:r w:rsidR="00B83E30">
        <w:rPr>
          <w:rFonts w:ascii="Times New Roman" w:hAnsi="Times New Roman" w:cs="Times New Roman"/>
          <w:sz w:val="28"/>
        </w:rPr>
        <w:t xml:space="preserve"> 1.1.19</w:t>
      </w:r>
      <w:r w:rsidR="00C41EDE">
        <w:rPr>
          <w:rFonts w:ascii="Times New Roman" w:hAnsi="Times New Roman" w:cs="Times New Roman"/>
          <w:sz w:val="28"/>
        </w:rPr>
        <w:t>.</w:t>
      </w:r>
      <w:r w:rsidR="00B83E30" w:rsidRPr="003A6967">
        <w:rPr>
          <w:rFonts w:ascii="Times New Roman" w:hAnsi="Times New Roman" w:cs="Times New Roman"/>
          <w:sz w:val="28"/>
        </w:rPr>
        <w:t xml:space="preserve"> «</w:t>
      </w:r>
      <w:r w:rsidR="00B83E30">
        <w:rPr>
          <w:rFonts w:ascii="Times New Roman" w:hAnsi="Times New Roman" w:cs="Times New Roman"/>
          <w:sz w:val="28"/>
          <w:szCs w:val="28"/>
        </w:rPr>
        <w:t xml:space="preserve">Расчет количества </w:t>
      </w:r>
      <w:proofErr w:type="spellStart"/>
      <w:r w:rsidR="00B83E30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B83E30">
        <w:rPr>
          <w:rFonts w:ascii="Times New Roman" w:hAnsi="Times New Roman" w:cs="Times New Roman"/>
          <w:sz w:val="28"/>
          <w:szCs w:val="28"/>
        </w:rPr>
        <w:t>-мест для рекреационных территорий, объектов отдыха, зданий и сооружений</w:t>
      </w:r>
      <w:r w:rsidR="00B83E30">
        <w:rPr>
          <w:rFonts w:ascii="Times New Roman" w:hAnsi="Times New Roman" w:cs="Times New Roman"/>
          <w:sz w:val="28"/>
        </w:rPr>
        <w:t xml:space="preserve">» </w:t>
      </w:r>
      <w:r w:rsidR="00B83E30" w:rsidRPr="00B83E30">
        <w:rPr>
          <w:rFonts w:ascii="Times New Roman" w:hAnsi="Times New Roman" w:cs="Times New Roman"/>
          <w:sz w:val="28"/>
        </w:rPr>
        <w:t>пункт</w:t>
      </w:r>
      <w:r w:rsidR="00B83E30">
        <w:rPr>
          <w:rFonts w:ascii="Times New Roman" w:hAnsi="Times New Roman" w:cs="Times New Roman"/>
          <w:sz w:val="28"/>
        </w:rPr>
        <w:t>а</w:t>
      </w:r>
      <w:r w:rsidR="00B83E30" w:rsidRPr="00B83E30">
        <w:rPr>
          <w:rFonts w:ascii="Times New Roman" w:hAnsi="Times New Roman" w:cs="Times New Roman"/>
          <w:sz w:val="28"/>
        </w:rPr>
        <w:t xml:space="preserve"> 1.1</w:t>
      </w:r>
      <w:r w:rsidR="00C41EDE">
        <w:rPr>
          <w:rFonts w:ascii="Times New Roman" w:hAnsi="Times New Roman" w:cs="Times New Roman"/>
          <w:sz w:val="28"/>
        </w:rPr>
        <w:t>.</w:t>
      </w:r>
      <w:r w:rsidR="00B83E30" w:rsidRPr="00B83E30">
        <w:rPr>
          <w:rFonts w:ascii="Times New Roman" w:hAnsi="Times New Roman" w:cs="Times New Roman"/>
          <w:sz w:val="28"/>
        </w:rPr>
        <w:t xml:space="preserve"> «Расчетные показатели минимально допустимого уровня обеспеченности объектами местного значения Светлогорского сельского поселения,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поселения» части 1 «Основная часть»</w:t>
      </w:r>
      <w:r w:rsidRPr="00B9566E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F1646E" w:rsidRPr="00B9566E">
        <w:rPr>
          <w:rFonts w:ascii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646E" w:rsidRDefault="00F1646E" w:rsidP="00B9566E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C41EDE" w:rsidRPr="00825233" w:rsidTr="00C41EDE">
        <w:tc>
          <w:tcPr>
            <w:tcW w:w="3798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41" w:type="dxa"/>
          </w:tcPr>
          <w:p w:rsidR="00C41EDE" w:rsidRPr="00B9566E" w:rsidRDefault="00C41ED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</w:tr>
      <w:tr w:rsidR="00C41EDE" w:rsidRPr="00825233" w:rsidTr="00C41EDE">
        <w:tc>
          <w:tcPr>
            <w:tcW w:w="9701" w:type="dxa"/>
            <w:gridSpan w:val="3"/>
          </w:tcPr>
          <w:p w:rsidR="00C41EDE" w:rsidRPr="00B9566E" w:rsidRDefault="00C41EDE" w:rsidP="00C41ED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Средства размещения (объекты гостиничного обслуживания</w:t>
            </w:r>
          </w:p>
          <w:p w:rsidR="00C41EDE" w:rsidRPr="00B9566E" w:rsidRDefault="00C41EDE" w:rsidP="00C41ED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и объекты отдыха)</w:t>
            </w:r>
          </w:p>
        </w:tc>
      </w:tr>
      <w:tr w:rsidR="00F1646E" w:rsidRPr="00825233" w:rsidTr="00C41EDE">
        <w:tc>
          <w:tcPr>
            <w:tcW w:w="3798" w:type="dxa"/>
          </w:tcPr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до 1500 м2</w:t>
            </w:r>
          </w:p>
        </w:tc>
        <w:tc>
          <w:tcPr>
            <w:tcW w:w="2362" w:type="dxa"/>
          </w:tcPr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 м2 общей площади</w:t>
            </w:r>
          </w:p>
        </w:tc>
        <w:tc>
          <w:tcPr>
            <w:tcW w:w="3541" w:type="dxa"/>
          </w:tcPr>
          <w:p w:rsidR="00F1646E" w:rsidRPr="00B9566E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1</w:t>
            </w:r>
          </w:p>
          <w:p w:rsidR="00F1646E" w:rsidRPr="00B9566E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но не менее 3 на 10 номеров</w:t>
            </w:r>
          </w:p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C41EDE">
        <w:tc>
          <w:tcPr>
            <w:tcW w:w="3798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от 1500 м2 до 5000 м2</w:t>
            </w:r>
          </w:p>
        </w:tc>
        <w:tc>
          <w:tcPr>
            <w:tcW w:w="2362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250 м2 общей площади</w:t>
            </w:r>
          </w:p>
        </w:tc>
        <w:tc>
          <w:tcPr>
            <w:tcW w:w="3541" w:type="dxa"/>
          </w:tcPr>
          <w:p w:rsidR="000366B9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1</w:t>
            </w:r>
          </w:p>
          <w:p w:rsidR="000366B9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но не менее 10</w:t>
            </w:r>
          </w:p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C41EDE">
        <w:tc>
          <w:tcPr>
            <w:tcW w:w="3798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</w:t>
            </w:r>
          </w:p>
        </w:tc>
        <w:tc>
          <w:tcPr>
            <w:tcW w:w="2362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 м2 общей площади</w:t>
            </w:r>
          </w:p>
        </w:tc>
        <w:tc>
          <w:tcPr>
            <w:tcW w:w="3541" w:type="dxa"/>
          </w:tcPr>
          <w:p w:rsidR="000366B9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1</w:t>
            </w:r>
          </w:p>
          <w:p w:rsidR="000366B9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но не менее 20</w:t>
            </w:r>
          </w:p>
          <w:p w:rsidR="00F1646E" w:rsidRPr="00B9566E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C41EDE">
        <w:tc>
          <w:tcPr>
            <w:tcW w:w="3798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 (категории 4 и 5 звезд)</w:t>
            </w:r>
          </w:p>
        </w:tc>
        <w:tc>
          <w:tcPr>
            <w:tcW w:w="2362" w:type="dxa"/>
          </w:tcPr>
          <w:p w:rsidR="00F1646E" w:rsidRPr="00B9566E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 м2 общей площади</w:t>
            </w:r>
          </w:p>
        </w:tc>
        <w:tc>
          <w:tcPr>
            <w:tcW w:w="3541" w:type="dxa"/>
          </w:tcPr>
          <w:p w:rsidR="000366B9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1</w:t>
            </w:r>
          </w:p>
          <w:p w:rsidR="00F1646E" w:rsidRPr="00B9566E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но не менее 20</w:t>
            </w:r>
          </w:p>
        </w:tc>
      </w:tr>
    </w:tbl>
    <w:p w:rsidR="00F1646E" w:rsidRDefault="00C41EDE" w:rsidP="00C41EDE">
      <w:pPr>
        <w:pStyle w:val="a3"/>
        <w:spacing w:after="0" w:line="240" w:lineRule="auto"/>
        <w:ind w:left="709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0366B9">
        <w:rPr>
          <w:rFonts w:ascii="Times New Roman" w:hAnsi="Times New Roman" w:cs="Times New Roman"/>
          <w:sz w:val="28"/>
          <w:szCs w:val="28"/>
        </w:rPr>
        <w:t>».</w:t>
      </w:r>
    </w:p>
    <w:p w:rsidR="000366B9" w:rsidRPr="00B9566E" w:rsidRDefault="00B9566E" w:rsidP="00B95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AA24E0" w:rsidRPr="00B9566E">
        <w:rPr>
          <w:rFonts w:ascii="Times New Roman" w:hAnsi="Times New Roman" w:cs="Times New Roman"/>
          <w:sz w:val="28"/>
          <w:szCs w:val="28"/>
        </w:rPr>
        <w:t>Дополнить</w:t>
      </w:r>
      <w:r w:rsidR="00B83E30">
        <w:rPr>
          <w:rFonts w:ascii="Times New Roman" w:hAnsi="Times New Roman" w:cs="Times New Roman"/>
          <w:sz w:val="28"/>
          <w:szCs w:val="28"/>
        </w:rPr>
        <w:t xml:space="preserve"> </w:t>
      </w:r>
      <w:r w:rsidR="00B83E30" w:rsidRPr="00B9566E">
        <w:rPr>
          <w:rFonts w:ascii="Times New Roman" w:hAnsi="Times New Roman" w:cs="Times New Roman"/>
          <w:sz w:val="28"/>
          <w:szCs w:val="28"/>
        </w:rPr>
        <w:t>подразделом «Объекты отдыха»</w:t>
      </w:r>
      <w:r w:rsidR="00B83E30">
        <w:rPr>
          <w:rFonts w:ascii="Times New Roman" w:hAnsi="Times New Roman" w:cs="Times New Roman"/>
          <w:sz w:val="28"/>
          <w:szCs w:val="28"/>
        </w:rPr>
        <w:t xml:space="preserve"> таблицу </w:t>
      </w:r>
      <w:r w:rsidR="005F1035">
        <w:rPr>
          <w:rFonts w:ascii="Times New Roman" w:hAnsi="Times New Roman" w:cs="Times New Roman"/>
          <w:sz w:val="28"/>
        </w:rPr>
        <w:t>подпункта</w:t>
      </w:r>
      <w:r w:rsidR="00B83E30">
        <w:rPr>
          <w:rFonts w:ascii="Times New Roman" w:hAnsi="Times New Roman" w:cs="Times New Roman"/>
          <w:sz w:val="28"/>
        </w:rPr>
        <w:t xml:space="preserve"> 1.1.19</w:t>
      </w:r>
      <w:r w:rsidR="00C41EDE">
        <w:rPr>
          <w:rFonts w:ascii="Times New Roman" w:hAnsi="Times New Roman" w:cs="Times New Roman"/>
          <w:sz w:val="28"/>
        </w:rPr>
        <w:t>.</w:t>
      </w:r>
      <w:r w:rsidR="00B83E30" w:rsidRPr="003A6967">
        <w:rPr>
          <w:rFonts w:ascii="Times New Roman" w:hAnsi="Times New Roman" w:cs="Times New Roman"/>
          <w:sz w:val="28"/>
        </w:rPr>
        <w:t xml:space="preserve"> «</w:t>
      </w:r>
      <w:r w:rsidR="00B83E30">
        <w:rPr>
          <w:rFonts w:ascii="Times New Roman" w:hAnsi="Times New Roman" w:cs="Times New Roman"/>
          <w:sz w:val="28"/>
          <w:szCs w:val="28"/>
        </w:rPr>
        <w:t xml:space="preserve">Расчет количества </w:t>
      </w:r>
      <w:proofErr w:type="spellStart"/>
      <w:r w:rsidR="00B83E30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B83E30">
        <w:rPr>
          <w:rFonts w:ascii="Times New Roman" w:hAnsi="Times New Roman" w:cs="Times New Roman"/>
          <w:sz w:val="28"/>
          <w:szCs w:val="28"/>
        </w:rPr>
        <w:t>-мест для рекреационных территорий, объектов отдыха, зданий и сооружений</w:t>
      </w:r>
      <w:r w:rsidR="00B83E30">
        <w:rPr>
          <w:rFonts w:ascii="Times New Roman" w:hAnsi="Times New Roman" w:cs="Times New Roman"/>
          <w:sz w:val="28"/>
        </w:rPr>
        <w:t xml:space="preserve">» </w:t>
      </w:r>
      <w:r w:rsidR="00B83E30" w:rsidRPr="00B83E30">
        <w:rPr>
          <w:rFonts w:ascii="Times New Roman" w:hAnsi="Times New Roman" w:cs="Times New Roman"/>
          <w:sz w:val="28"/>
        </w:rPr>
        <w:t>пункт</w:t>
      </w:r>
      <w:r w:rsidR="00B83E30">
        <w:rPr>
          <w:rFonts w:ascii="Times New Roman" w:hAnsi="Times New Roman" w:cs="Times New Roman"/>
          <w:sz w:val="28"/>
        </w:rPr>
        <w:t>а</w:t>
      </w:r>
      <w:r w:rsidR="00B83E30" w:rsidRPr="00B83E30">
        <w:rPr>
          <w:rFonts w:ascii="Times New Roman" w:hAnsi="Times New Roman" w:cs="Times New Roman"/>
          <w:sz w:val="28"/>
        </w:rPr>
        <w:t xml:space="preserve"> 1.1 «Расчетные показатели минимально допустимого уровня обеспеченности объектами местного значения Светлогорского сельского поселения,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поселения» части 1 «Основная часть»</w:t>
      </w:r>
      <w:r w:rsidR="0029074E" w:rsidRPr="00B9566E">
        <w:rPr>
          <w:rFonts w:ascii="Times New Roman" w:hAnsi="Times New Roman" w:cs="Times New Roman"/>
          <w:sz w:val="28"/>
          <w:szCs w:val="28"/>
        </w:rPr>
        <w:t xml:space="preserve"> </w:t>
      </w:r>
      <w:r w:rsidR="00AA24E0" w:rsidRPr="00B9566E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84E44" w:rsidRDefault="00B84E44" w:rsidP="00B9566E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C41EDE" w:rsidRPr="00825233" w:rsidTr="00C41EDE">
        <w:tc>
          <w:tcPr>
            <w:tcW w:w="3798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C41EDE" w:rsidRPr="00B9566E" w:rsidRDefault="00C41EDE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3541" w:type="dxa"/>
          </w:tcPr>
          <w:p w:rsidR="00C41EDE" w:rsidRPr="00B9566E" w:rsidRDefault="00C41ED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C41EDE" w:rsidRPr="00825233" w:rsidTr="00C41EDE">
        <w:tc>
          <w:tcPr>
            <w:tcW w:w="9701" w:type="dxa"/>
            <w:gridSpan w:val="3"/>
          </w:tcPr>
          <w:p w:rsidR="00C41EDE" w:rsidRPr="00C41EDE" w:rsidRDefault="00C41EDE" w:rsidP="00C41E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1E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отдыха</w:t>
            </w:r>
          </w:p>
        </w:tc>
      </w:tr>
      <w:tr w:rsidR="00B84E44" w:rsidRPr="00825233" w:rsidTr="00C41EDE">
        <w:tc>
          <w:tcPr>
            <w:tcW w:w="3798" w:type="dxa"/>
          </w:tcPr>
          <w:p w:rsidR="00B84E44" w:rsidRPr="00B9566E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 отдыха и санатории, санатории профилактики, базы отдыха предприятий и туристические базы</w:t>
            </w:r>
          </w:p>
        </w:tc>
        <w:tc>
          <w:tcPr>
            <w:tcW w:w="2362" w:type="dxa"/>
          </w:tcPr>
          <w:p w:rsidR="00B84E44" w:rsidRPr="00B9566E" w:rsidRDefault="00B84E44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100</w:t>
            </w:r>
          </w:p>
          <w:p w:rsidR="00B84E44" w:rsidRPr="00B9566E" w:rsidRDefault="00B84E44" w:rsidP="00B956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9566E">
              <w:t>отдыхающих и обслуживающего персонала</w:t>
            </w:r>
          </w:p>
        </w:tc>
        <w:tc>
          <w:tcPr>
            <w:tcW w:w="3541" w:type="dxa"/>
          </w:tcPr>
          <w:p w:rsidR="00B84E44" w:rsidRPr="00B9566E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B84E44" w:rsidRDefault="00C41EDE" w:rsidP="00C41EDE">
      <w:pPr>
        <w:pStyle w:val="a3"/>
        <w:spacing w:after="0" w:line="240" w:lineRule="auto"/>
        <w:ind w:left="709"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B84E44">
        <w:rPr>
          <w:rFonts w:ascii="Times New Roman" w:hAnsi="Times New Roman" w:cs="Times New Roman"/>
          <w:sz w:val="28"/>
          <w:szCs w:val="28"/>
        </w:rPr>
        <w:t>».</w:t>
      </w:r>
    </w:p>
    <w:p w:rsidR="00B84E44" w:rsidRPr="00B9566E" w:rsidRDefault="00B9566E" w:rsidP="00B95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814C1" w:rsidRPr="00B9566E">
        <w:rPr>
          <w:rFonts w:ascii="Times New Roman" w:hAnsi="Times New Roman" w:cs="Times New Roman"/>
          <w:sz w:val="28"/>
          <w:szCs w:val="28"/>
        </w:rPr>
        <w:t xml:space="preserve">Примечания к таблице </w:t>
      </w:r>
      <w:r w:rsidR="005F1035">
        <w:rPr>
          <w:rFonts w:ascii="Times New Roman" w:hAnsi="Times New Roman" w:cs="Times New Roman"/>
          <w:sz w:val="28"/>
          <w:szCs w:val="28"/>
        </w:rPr>
        <w:t>подпункта</w:t>
      </w:r>
      <w:r w:rsidR="0029074E" w:rsidRPr="00B9566E">
        <w:rPr>
          <w:rFonts w:ascii="Times New Roman" w:hAnsi="Times New Roman" w:cs="Times New Roman"/>
          <w:sz w:val="28"/>
          <w:szCs w:val="28"/>
        </w:rPr>
        <w:t xml:space="preserve"> 1.1.19</w:t>
      </w:r>
      <w:r w:rsidR="00C41EDE">
        <w:rPr>
          <w:rFonts w:ascii="Times New Roman" w:hAnsi="Times New Roman" w:cs="Times New Roman"/>
          <w:sz w:val="28"/>
          <w:szCs w:val="28"/>
        </w:rPr>
        <w:t>.</w:t>
      </w:r>
      <w:r w:rsidR="00F814C1" w:rsidRPr="00B9566E">
        <w:rPr>
          <w:rFonts w:ascii="Times New Roman" w:hAnsi="Times New Roman" w:cs="Times New Roman"/>
          <w:sz w:val="28"/>
          <w:szCs w:val="28"/>
        </w:rPr>
        <w:t xml:space="preserve"> </w:t>
      </w:r>
      <w:r w:rsidR="00B83E30" w:rsidRPr="003A6967">
        <w:rPr>
          <w:rFonts w:ascii="Times New Roman" w:hAnsi="Times New Roman" w:cs="Times New Roman"/>
          <w:sz w:val="28"/>
        </w:rPr>
        <w:t>«</w:t>
      </w:r>
      <w:r w:rsidR="00B83E30">
        <w:rPr>
          <w:rFonts w:ascii="Times New Roman" w:hAnsi="Times New Roman" w:cs="Times New Roman"/>
          <w:sz w:val="28"/>
          <w:szCs w:val="28"/>
        </w:rPr>
        <w:t xml:space="preserve">Расчет количества </w:t>
      </w:r>
      <w:proofErr w:type="spellStart"/>
      <w:r w:rsidR="00B83E30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B83E30">
        <w:rPr>
          <w:rFonts w:ascii="Times New Roman" w:hAnsi="Times New Roman" w:cs="Times New Roman"/>
          <w:sz w:val="28"/>
          <w:szCs w:val="28"/>
        </w:rPr>
        <w:t>-мест для рекреационных территорий, объектов отдыха, зданий и сооружений</w:t>
      </w:r>
      <w:r w:rsidR="00B83E30">
        <w:rPr>
          <w:rFonts w:ascii="Times New Roman" w:hAnsi="Times New Roman" w:cs="Times New Roman"/>
          <w:sz w:val="28"/>
        </w:rPr>
        <w:t xml:space="preserve">» </w:t>
      </w:r>
      <w:r w:rsidR="00B83E30" w:rsidRPr="00B83E30">
        <w:rPr>
          <w:rFonts w:ascii="Times New Roman" w:hAnsi="Times New Roman" w:cs="Times New Roman"/>
          <w:sz w:val="28"/>
        </w:rPr>
        <w:t>пункт</w:t>
      </w:r>
      <w:r w:rsidR="00B83E30">
        <w:rPr>
          <w:rFonts w:ascii="Times New Roman" w:hAnsi="Times New Roman" w:cs="Times New Roman"/>
          <w:sz w:val="28"/>
        </w:rPr>
        <w:t>а</w:t>
      </w:r>
      <w:r w:rsidR="00B83E30" w:rsidRPr="00B83E30">
        <w:rPr>
          <w:rFonts w:ascii="Times New Roman" w:hAnsi="Times New Roman" w:cs="Times New Roman"/>
          <w:sz w:val="28"/>
        </w:rPr>
        <w:t xml:space="preserve"> 1.1 «Расчетные показатели минимально допустимого уровня обеспеченности объектами местного значения Светлогорского сельского поселения, объектами благоустройства территории и расчетные показатели максимально допустимого уровня территориальной доступности таких объектов для населения сельского поселения» части 1 «Основная часть»</w:t>
      </w:r>
      <w:r w:rsidR="00B83E30">
        <w:rPr>
          <w:rFonts w:ascii="Times New Roman" w:hAnsi="Times New Roman" w:cs="Times New Roman"/>
          <w:sz w:val="28"/>
        </w:rPr>
        <w:t xml:space="preserve"> </w:t>
      </w:r>
      <w:r w:rsidR="00EF0416" w:rsidRPr="00B9566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83E30">
        <w:rPr>
          <w:rFonts w:ascii="Times New Roman" w:hAnsi="Times New Roman" w:cs="Times New Roman"/>
          <w:sz w:val="28"/>
          <w:szCs w:val="28"/>
        </w:rPr>
        <w:t>ново</w:t>
      </w:r>
      <w:r w:rsidR="00EF0416" w:rsidRPr="00B9566E">
        <w:rPr>
          <w:rFonts w:ascii="Times New Roman" w:hAnsi="Times New Roman" w:cs="Times New Roman"/>
          <w:sz w:val="28"/>
          <w:szCs w:val="28"/>
        </w:rPr>
        <w:t>й редакции:</w:t>
      </w:r>
    </w:p>
    <w:p w:rsidR="00B83E30" w:rsidRPr="00C95DD7" w:rsidRDefault="00EF0416" w:rsidP="00B83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="00B83E30">
        <w:rPr>
          <w:rFonts w:ascii="Times New Roman" w:hAnsi="Times New Roman" w:cs="Times New Roman"/>
          <w:sz w:val="28"/>
          <w:szCs w:val="28"/>
        </w:rPr>
        <w:t>1.</w:t>
      </w:r>
      <w:r w:rsidR="00B83E30" w:rsidRPr="00C95DD7">
        <w:rPr>
          <w:rFonts w:ascii="Times New Roman" w:hAnsi="Times New Roman" w:cs="Times New Roman"/>
          <w:sz w:val="28"/>
          <w:szCs w:val="28"/>
        </w:rPr>
        <w:t xml:space="preserve"> Рядом с границами участков объектов образования необходимо предусматривать места для кратковременной остановки автотранспорта родителей, привозящих детей, на расстоянии не более 50 м от входов, в соответствии с утвержденной документацией по планировке территории.</w:t>
      </w:r>
    </w:p>
    <w:p w:rsidR="00B83E30" w:rsidRPr="00C95DD7" w:rsidRDefault="00B83E30" w:rsidP="00B83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95DD7">
        <w:rPr>
          <w:rFonts w:ascii="Times New Roman" w:hAnsi="Times New Roman" w:cs="Times New Roman"/>
          <w:sz w:val="28"/>
          <w:szCs w:val="28"/>
        </w:rPr>
        <w:t xml:space="preserve">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 w:rsidRPr="00C95DD7">
        <w:rPr>
          <w:sz w:val="28"/>
          <w:szCs w:val="28"/>
        </w:rPr>
        <w:t xml:space="preserve"> При расчете общей площади не учитывается площадь встроенно-пристроенных гаражей-стоянок и неотапливаемых помещений.</w:t>
      </w:r>
    </w:p>
    <w:p w:rsidR="00B83E30" w:rsidRPr="00F051A5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4. Показатель минимальной обеспеченности </w:t>
      </w:r>
      <w:proofErr w:type="spellStart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>машиноместами</w:t>
      </w:r>
      <w:proofErr w:type="spellEnd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 постоянного хранения личных автомобилей в пределах многоквартирной застройки: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 xml:space="preserve">ММ =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k1 -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k2 - NИЖС,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планируемая численность населения в границах разрабатываемого проекта планировки территории;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k1* - обеспеченность населения личными легковыми автомобилями, находящимися в собственности у физических лиц, в авто на тыс. человек. Согласно инфор</w:t>
      </w:r>
      <w:r>
        <w:rPr>
          <w:rFonts w:eastAsiaTheme="minorHAnsi"/>
          <w:sz w:val="28"/>
          <w:szCs w:val="28"/>
          <w:lang w:eastAsia="en-US"/>
        </w:rPr>
        <w:t>мации аналитического агентства «</w:t>
      </w:r>
      <w:proofErr w:type="spellStart"/>
      <w:r>
        <w:rPr>
          <w:rFonts w:eastAsiaTheme="minorHAnsi"/>
          <w:sz w:val="28"/>
          <w:szCs w:val="28"/>
          <w:lang w:eastAsia="en-US"/>
        </w:rPr>
        <w:t>Автостат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  <w:r w:rsidRPr="00EF0416">
        <w:rPr>
          <w:rFonts w:eastAsiaTheme="minorHAnsi"/>
          <w:sz w:val="28"/>
          <w:szCs w:val="28"/>
          <w:lang w:eastAsia="en-US"/>
        </w:rPr>
        <w:t xml:space="preserve"> по состоянию за год, предшествующий расчетному;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lastRenderedPageBreak/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общее число парковочных мест в пределах уличной сети в границах разрабатываемого проекта планировки территории;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k2 - коэффициент, определяющий долю парковочных мест в пределах уличной сети, которые могут использоваться для постоянного хранения личного транспорта. Коэффициент принимается равным 0,8;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NИЖС - количество участков ИЖС в границах разрабатываемог</w:t>
      </w:r>
      <w:r w:rsidR="00C41EDE">
        <w:rPr>
          <w:rFonts w:eastAsiaTheme="minorHAnsi"/>
          <w:sz w:val="28"/>
          <w:szCs w:val="28"/>
          <w:lang w:eastAsia="en-US"/>
        </w:rPr>
        <w:t>о проекта планировки территории;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* показатель k1 определяется каждый год приказом департамента по архитектуре и градостроительству Краснодарского края.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 w:rsidRPr="00C95DD7">
        <w:rPr>
          <w:sz w:val="28"/>
          <w:szCs w:val="28"/>
        </w:rPr>
        <w:t>Допускаются стоянки для объектов социального назначения размещать на территориях общего пользования, на части автомобильной дороги и (или) территории, примыкающей к проезжей части и (или) тротуару и иных объектов улично-дорожной сети, на расстоянии не более 50 м от входов на территорию в соответствии с утвержденной документацией по планировке территории. Нормативные разрывы от таких парковок не устанавливаются.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Pr="00EF0416">
        <w:rPr>
          <w:rFonts w:eastAsiaTheme="minorHAnsi"/>
          <w:sz w:val="28"/>
          <w:szCs w:val="28"/>
          <w:lang w:eastAsia="en-US"/>
        </w:rPr>
        <w:t>Сооружения для хранения легковых автомобилей городского населения следует размещать в радиусе доступности 250 - 300 м от мест жительства автовладельцев, но не более чем в 800 м; на территориях коттеджной застройки - не более чем в 200 м.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Pr="00EF0416">
        <w:rPr>
          <w:rFonts w:eastAsiaTheme="minorHAnsi"/>
          <w:sz w:val="28"/>
          <w:szCs w:val="28"/>
          <w:lang w:eastAsia="en-US"/>
        </w:rPr>
        <w:t>Автозаправочные станции (далее - АЗС) следует проектировать из расчета одна топливораздаточная колонка на 1200 легковых автомобилей, принимая размеры их земельных участков для станций:</w:t>
      </w:r>
      <w:r w:rsidRPr="00EF0416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EF0416">
        <w:rPr>
          <w:rFonts w:eastAsiaTheme="minorHAnsi"/>
          <w:sz w:val="28"/>
          <w:szCs w:val="28"/>
          <w:lang w:eastAsia="en-US"/>
        </w:rPr>
        <w:t>на 2 колонки - 0,1 га;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5 колонок - 0,2 га;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7 колонок - 0,3 га;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9 колонок - 0,35 га;</w:t>
      </w:r>
    </w:p>
    <w:p w:rsidR="00B83E30" w:rsidRP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11 колонок - 0,4 га.</w:t>
      </w:r>
    </w:p>
    <w:p w:rsidR="00B83E30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территории АЗС необходимо предусматривать не менее 1 места для стоянки и зарядки электромобилей, оборудованными быстрыми зарядными станциями.</w:t>
      </w:r>
    </w:p>
    <w:p w:rsidR="00EF0416" w:rsidRDefault="00B83E30" w:rsidP="00B83E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</w:t>
      </w:r>
      <w:r w:rsidRPr="00C95DD7">
        <w:rPr>
          <w:sz w:val="28"/>
          <w:szCs w:val="28"/>
        </w:rPr>
        <w:t xml:space="preserve"> При размещении параллельных парковок в карманах улиц и дорог,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2,5 метра, с целью организации прохода и островка безопасности.</w:t>
      </w:r>
      <w:r w:rsidR="00EF0416">
        <w:rPr>
          <w:rFonts w:eastAsiaTheme="minorHAnsi"/>
          <w:sz w:val="28"/>
          <w:szCs w:val="28"/>
          <w:lang w:eastAsia="en-US"/>
        </w:rPr>
        <w:t>».</w:t>
      </w:r>
    </w:p>
    <w:p w:rsidR="00EF0416" w:rsidRDefault="00B9566E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3903D2">
        <w:rPr>
          <w:rFonts w:eastAsiaTheme="minorHAnsi"/>
          <w:sz w:val="28"/>
          <w:szCs w:val="28"/>
          <w:lang w:eastAsia="en-US"/>
        </w:rPr>
        <w:t xml:space="preserve">Дополнить раздел </w:t>
      </w:r>
      <w:r w:rsidR="0029074E">
        <w:rPr>
          <w:rFonts w:eastAsiaTheme="minorHAnsi"/>
          <w:sz w:val="28"/>
          <w:szCs w:val="28"/>
          <w:lang w:eastAsia="en-US"/>
        </w:rPr>
        <w:t>1.5</w:t>
      </w:r>
      <w:r w:rsidR="003903D2">
        <w:rPr>
          <w:rFonts w:eastAsiaTheme="minorHAnsi"/>
          <w:sz w:val="28"/>
          <w:szCs w:val="28"/>
          <w:lang w:eastAsia="en-US"/>
        </w:rPr>
        <w:t xml:space="preserve"> «</w:t>
      </w:r>
      <w:r w:rsidR="0029074E" w:rsidRPr="00CF2178">
        <w:rPr>
          <w:sz w:val="28"/>
          <w:szCs w:val="28"/>
        </w:rPr>
        <w:t>Расчетные показатели обеспеченности и интенсивности использования территорий садоводческих, огороднических и дачных некоммерческих объединений</w:t>
      </w:r>
      <w:r w:rsidR="003903D2">
        <w:rPr>
          <w:rFonts w:eastAsiaTheme="minorHAnsi"/>
          <w:sz w:val="28"/>
          <w:szCs w:val="28"/>
          <w:lang w:eastAsia="en-US"/>
        </w:rPr>
        <w:t>»</w:t>
      </w:r>
      <w:r w:rsidR="00B83E30">
        <w:rPr>
          <w:rFonts w:eastAsiaTheme="minorHAnsi"/>
          <w:sz w:val="28"/>
          <w:szCs w:val="28"/>
          <w:lang w:eastAsia="en-US"/>
        </w:rPr>
        <w:t xml:space="preserve"> </w:t>
      </w:r>
      <w:r w:rsidR="00B83E30" w:rsidRPr="00B83E30">
        <w:rPr>
          <w:sz w:val="28"/>
          <w:szCs w:val="22"/>
        </w:rPr>
        <w:t>части 1 «Основная часть»</w:t>
      </w:r>
      <w:r w:rsidR="003903D2">
        <w:rPr>
          <w:rFonts w:eastAsiaTheme="minorHAnsi"/>
          <w:sz w:val="28"/>
          <w:szCs w:val="28"/>
          <w:lang w:eastAsia="en-US"/>
        </w:rPr>
        <w:t xml:space="preserve"> пунктами </w:t>
      </w:r>
      <w:r w:rsidR="0029074E">
        <w:rPr>
          <w:rFonts w:eastAsiaTheme="minorHAnsi"/>
          <w:sz w:val="28"/>
          <w:szCs w:val="28"/>
          <w:lang w:eastAsia="en-US"/>
        </w:rPr>
        <w:t>1.5.8</w:t>
      </w:r>
      <w:r w:rsidR="00C41EDE">
        <w:rPr>
          <w:rFonts w:eastAsiaTheme="minorHAnsi"/>
          <w:sz w:val="28"/>
          <w:szCs w:val="28"/>
          <w:lang w:eastAsia="en-US"/>
        </w:rPr>
        <w:t>.</w:t>
      </w:r>
      <w:r w:rsidR="003903D2">
        <w:rPr>
          <w:rFonts w:eastAsiaTheme="minorHAnsi"/>
          <w:sz w:val="28"/>
          <w:szCs w:val="28"/>
          <w:lang w:eastAsia="en-US"/>
        </w:rPr>
        <w:t xml:space="preserve"> и </w:t>
      </w:r>
      <w:r w:rsidR="0029074E">
        <w:rPr>
          <w:rFonts w:eastAsiaTheme="minorHAnsi"/>
          <w:sz w:val="28"/>
          <w:szCs w:val="28"/>
          <w:lang w:eastAsia="en-US"/>
        </w:rPr>
        <w:t>1.5.9</w:t>
      </w:r>
      <w:r w:rsidR="00C41EDE">
        <w:rPr>
          <w:rFonts w:eastAsiaTheme="minorHAnsi"/>
          <w:sz w:val="28"/>
          <w:szCs w:val="28"/>
          <w:lang w:eastAsia="en-US"/>
        </w:rPr>
        <w:t>.</w:t>
      </w:r>
      <w:r w:rsidR="003903D2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3903D2" w:rsidRPr="003903D2" w:rsidRDefault="0029074E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«1.5.8</w:t>
      </w:r>
      <w:r w:rsidR="00C41EDE">
        <w:rPr>
          <w:rFonts w:eastAsiaTheme="minorHAnsi"/>
          <w:sz w:val="28"/>
          <w:szCs w:val="28"/>
          <w:lang w:eastAsia="en-US"/>
        </w:rPr>
        <w:t>.</w:t>
      </w:r>
      <w:r w:rsidR="003903D2">
        <w:rPr>
          <w:rFonts w:eastAsiaTheme="minorHAnsi"/>
          <w:sz w:val="28"/>
          <w:szCs w:val="28"/>
          <w:lang w:eastAsia="en-US"/>
        </w:rPr>
        <w:t xml:space="preserve"> </w:t>
      </w:r>
      <w:r w:rsidR="003903D2" w:rsidRPr="003903D2">
        <w:rPr>
          <w:rFonts w:eastAsiaTheme="minorHAnsi"/>
          <w:sz w:val="28"/>
          <w:szCs w:val="28"/>
          <w:lang w:eastAsia="en-US"/>
        </w:rPr>
        <w:t>Земельный участок, предоставленный садоводческому некоммерческому товариществу для ведения садоводства, состоит из земельных участков общего пользования и садовых земельных участков (индивидуального пользования).</w:t>
      </w:r>
    </w:p>
    <w:p w:rsidR="003903D2" w:rsidRDefault="003903D2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lastRenderedPageBreak/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</w:t>
      </w:r>
    </w:p>
    <w:p w:rsidR="003903D2" w:rsidRPr="003903D2" w:rsidRDefault="0029074E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1.5.9</w:t>
      </w:r>
      <w:r w:rsidR="00C41EDE">
        <w:rPr>
          <w:rFonts w:eastAsiaTheme="minorHAnsi"/>
          <w:sz w:val="28"/>
          <w:szCs w:val="28"/>
          <w:lang w:eastAsia="en-US"/>
        </w:rPr>
        <w:t>.</w:t>
      </w:r>
      <w:r w:rsidR="003903D2">
        <w:rPr>
          <w:rFonts w:eastAsiaTheme="minorHAnsi"/>
          <w:sz w:val="28"/>
          <w:szCs w:val="28"/>
          <w:lang w:eastAsia="en-US"/>
        </w:rPr>
        <w:t xml:space="preserve"> </w:t>
      </w:r>
      <w:r w:rsidR="003903D2" w:rsidRPr="003903D2">
        <w:rPr>
          <w:rFonts w:eastAsiaTheme="minorHAnsi"/>
          <w:sz w:val="28"/>
          <w:szCs w:val="28"/>
          <w:lang w:eastAsia="en-US"/>
        </w:rPr>
        <w:t>Территория садоводческого некоммерческого товарищества должна быть оборудована системой водоснабжения в соответ</w:t>
      </w:r>
      <w:r w:rsidR="00B9566E">
        <w:rPr>
          <w:rFonts w:eastAsiaTheme="minorHAnsi"/>
          <w:sz w:val="28"/>
          <w:szCs w:val="28"/>
          <w:lang w:eastAsia="en-US"/>
        </w:rPr>
        <w:t>ствии с требованиями раздела 5 «Производственная территория»</w:t>
      </w:r>
      <w:r w:rsidR="003903D2" w:rsidRPr="003903D2">
        <w:rPr>
          <w:rFonts w:eastAsiaTheme="minorHAnsi"/>
          <w:sz w:val="28"/>
          <w:szCs w:val="28"/>
          <w:lang w:eastAsia="en-US"/>
        </w:rPr>
        <w:t xml:space="preserve"> </w:t>
      </w:r>
      <w:r w:rsidR="00F9567E" w:rsidRPr="003903D2">
        <w:rPr>
          <w:rFonts w:eastAsiaTheme="minorHAnsi"/>
          <w:sz w:val="28"/>
          <w:szCs w:val="28"/>
          <w:lang w:eastAsia="en-US"/>
        </w:rPr>
        <w:t>Нормативов</w:t>
      </w:r>
      <w:r w:rsidR="00F9567E">
        <w:rPr>
          <w:rFonts w:eastAsiaTheme="minorHAnsi"/>
          <w:sz w:val="28"/>
          <w:szCs w:val="28"/>
          <w:lang w:eastAsia="en-US"/>
        </w:rPr>
        <w:t xml:space="preserve"> градостроительного проектирования Краснодарского края</w:t>
      </w:r>
      <w:r w:rsidR="003903D2" w:rsidRPr="003903D2">
        <w:rPr>
          <w:rFonts w:eastAsiaTheme="minorHAnsi"/>
          <w:sz w:val="28"/>
          <w:szCs w:val="28"/>
          <w:lang w:eastAsia="en-US"/>
        </w:rPr>
        <w:t>.</w:t>
      </w:r>
    </w:p>
    <w:p w:rsidR="003903D2" w:rsidRPr="003903D2" w:rsidRDefault="003903D2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- от шахтных и </w:t>
      </w:r>
      <w:proofErr w:type="spellStart"/>
      <w:r w:rsidRPr="003903D2">
        <w:rPr>
          <w:rFonts w:eastAsiaTheme="minorHAnsi"/>
          <w:sz w:val="28"/>
          <w:szCs w:val="28"/>
          <w:lang w:eastAsia="en-US"/>
        </w:rPr>
        <w:t>мелкотрубчатых</w:t>
      </w:r>
      <w:proofErr w:type="spellEnd"/>
      <w:r w:rsidRPr="003903D2">
        <w:rPr>
          <w:rFonts w:eastAsiaTheme="minorHAnsi"/>
          <w:sz w:val="28"/>
          <w:szCs w:val="28"/>
          <w:lang w:eastAsia="en-US"/>
        </w:rPr>
        <w:t xml:space="preserve"> колодцев, каптажей родников.</w:t>
      </w:r>
    </w:p>
    <w:p w:rsidR="003903D2" w:rsidRPr="003903D2" w:rsidRDefault="003903D2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Устройство ввода водопровода в дома допускается при наличии местной канализации или при подключении к централизованной системе канализации.</w:t>
      </w:r>
    </w:p>
    <w:p w:rsidR="003903D2" w:rsidRDefault="003903D2" w:rsidP="00B956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На территории общего пользования садоводческого некоммерческого товарищества должны быть предусмотрены источники питьевой воды.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3903D2" w:rsidRPr="00EF0416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B9566E" w:rsidRDefault="00B9566E" w:rsidP="00B9566E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:rsidR="00EF0416" w:rsidRPr="00EF0416" w:rsidRDefault="00B9566E" w:rsidP="00B9566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и градостроительства, главный архитектор                                  </w:t>
      </w:r>
      <w:r w:rsidR="00C41E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А.В. Сапрунов</w:t>
      </w:r>
    </w:p>
    <w:sectPr w:rsidR="00EF0416" w:rsidRPr="00EF0416" w:rsidSect="00C41EDE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83B" w:rsidRDefault="0026283B" w:rsidP="00C41EDE">
      <w:pPr>
        <w:spacing w:after="0" w:line="240" w:lineRule="auto"/>
      </w:pPr>
      <w:r>
        <w:separator/>
      </w:r>
    </w:p>
  </w:endnote>
  <w:endnote w:type="continuationSeparator" w:id="0">
    <w:p w:rsidR="0026283B" w:rsidRDefault="0026283B" w:rsidP="00C4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83B" w:rsidRDefault="0026283B" w:rsidP="00C41EDE">
      <w:pPr>
        <w:spacing w:after="0" w:line="240" w:lineRule="auto"/>
      </w:pPr>
      <w:r>
        <w:separator/>
      </w:r>
    </w:p>
  </w:footnote>
  <w:footnote w:type="continuationSeparator" w:id="0">
    <w:p w:rsidR="0026283B" w:rsidRDefault="0026283B" w:rsidP="00C41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2870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41EDE" w:rsidRPr="00C41EDE" w:rsidRDefault="00C41ED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1ED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1ED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1ED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750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41ED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41EDE" w:rsidRDefault="00C41E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4A24"/>
    <w:multiLevelType w:val="hybridMultilevel"/>
    <w:tmpl w:val="808C0032"/>
    <w:lvl w:ilvl="0" w:tplc="52AC1E7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AA"/>
    <w:rsid w:val="000366B9"/>
    <w:rsid w:val="000C014E"/>
    <w:rsid w:val="00164A7C"/>
    <w:rsid w:val="0026283B"/>
    <w:rsid w:val="0029074E"/>
    <w:rsid w:val="003903D2"/>
    <w:rsid w:val="00473E84"/>
    <w:rsid w:val="005F1035"/>
    <w:rsid w:val="007F750D"/>
    <w:rsid w:val="008B2A54"/>
    <w:rsid w:val="009945D3"/>
    <w:rsid w:val="00AA24E0"/>
    <w:rsid w:val="00B77CAA"/>
    <w:rsid w:val="00B83E30"/>
    <w:rsid w:val="00B84E44"/>
    <w:rsid w:val="00B9566E"/>
    <w:rsid w:val="00C41EDE"/>
    <w:rsid w:val="00D933C3"/>
    <w:rsid w:val="00EF0416"/>
    <w:rsid w:val="00F1646E"/>
    <w:rsid w:val="00F34D19"/>
    <w:rsid w:val="00F7248B"/>
    <w:rsid w:val="00F814C1"/>
    <w:rsid w:val="00F9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0757"/>
  <w15:chartTrackingRefBased/>
  <w15:docId w15:val="{532641E7-B0CD-4814-A0DA-7ECB80B8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46E"/>
    <w:pPr>
      <w:ind w:left="720"/>
      <w:contextualSpacing/>
    </w:pPr>
  </w:style>
  <w:style w:type="paragraph" w:customStyle="1" w:styleId="ConsPlusNormal">
    <w:name w:val="ConsPlusNormal"/>
    <w:rsid w:val="00F1646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F1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4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EDE"/>
  </w:style>
  <w:style w:type="paragraph" w:styleId="a6">
    <w:name w:val="footer"/>
    <w:basedOn w:val="a"/>
    <w:link w:val="a7"/>
    <w:uiPriority w:val="99"/>
    <w:unhideWhenUsed/>
    <w:rsid w:val="00C4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1EDE"/>
  </w:style>
  <w:style w:type="paragraph" w:styleId="a8">
    <w:name w:val="Balloon Text"/>
    <w:basedOn w:val="a"/>
    <w:link w:val="a9"/>
    <w:uiPriority w:val="99"/>
    <w:semiHidden/>
    <w:unhideWhenUsed/>
    <w:rsid w:val="00C41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1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Architecture</cp:lastModifiedBy>
  <cp:revision>22</cp:revision>
  <cp:lastPrinted>2023-05-02T08:38:00Z</cp:lastPrinted>
  <dcterms:created xsi:type="dcterms:W3CDTF">2023-02-08T10:20:00Z</dcterms:created>
  <dcterms:modified xsi:type="dcterms:W3CDTF">2023-05-02T08:39:00Z</dcterms:modified>
</cp:coreProperties>
</file>